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4FFC" w14:textId="77777777" w:rsidR="00E33E0E" w:rsidRDefault="00E33E0E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59"/>
      </w:tblGrid>
      <w:tr w:rsidR="00FC1CC3" w14:paraId="57C50EE4" w14:textId="77777777" w:rsidTr="00FC1CC3">
        <w:tc>
          <w:tcPr>
            <w:tcW w:w="2263" w:type="dxa"/>
          </w:tcPr>
          <w:p w14:paraId="52450320" w14:textId="19FACD1A" w:rsidR="00FC1CC3" w:rsidRDefault="00FC1CC3">
            <w:pPr>
              <w:pStyle w:val="Frv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59B11EC" wp14:editId="5D91D615">
                  <wp:extent cx="981075" cy="933450"/>
                  <wp:effectExtent l="0" t="0" r="9525" b="0"/>
                  <wp:docPr id="1073741825" name="officeArt object" descr="Bi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ild" descr="Bil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176" cy="9335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14:paraId="184A8677" w14:textId="77777777" w:rsidR="00FC1CC3" w:rsidRPr="00FC1CC3" w:rsidRDefault="00FC1CC3" w:rsidP="00FC1CC3">
            <w:pPr>
              <w:pStyle w:val="Frval"/>
              <w:spacing w:before="0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60"/>
                <w:szCs w:val="60"/>
              </w:rPr>
              <w:t>Tillfälliga lokala regler</w:t>
            </w:r>
          </w:p>
          <w:p w14:paraId="3C95BECA" w14:textId="77777777" w:rsidR="00FC1CC3" w:rsidRDefault="00FC1CC3">
            <w:pPr>
              <w:pStyle w:val="Frv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AFBD5D" w14:textId="77777777" w:rsidR="003A6065" w:rsidRDefault="003A6065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51B74867" w14:textId="744BD823" w:rsidR="00FC1CC3" w:rsidRDefault="00934063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Hål med alternativa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Tees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och tävlingsregler.</w:t>
      </w:r>
    </w:p>
    <w:p w14:paraId="5878E7C1" w14:textId="40DAE786" w:rsidR="00934063" w:rsidRDefault="00934063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Hål 8 har alternativ röd tee på höger sida vägen. Hål 11 har tee på båda sidor om ravinen. Följande </w:t>
      </w:r>
      <w:proofErr w:type="spellStart"/>
      <w:r>
        <w:rPr>
          <w:rFonts w:ascii="Times New Roman" w:hAnsi="Times New Roman"/>
          <w:sz w:val="28"/>
          <w:szCs w:val="28"/>
        </w:rPr>
        <w:t>tees</w:t>
      </w:r>
      <w:proofErr w:type="spellEnd"/>
      <w:r>
        <w:rPr>
          <w:rFonts w:ascii="Times New Roman" w:hAnsi="Times New Roman"/>
          <w:sz w:val="28"/>
          <w:szCs w:val="28"/>
        </w:rPr>
        <w:t xml:space="preserve"> gäller vid tävling </w:t>
      </w:r>
      <w:r w:rsidRPr="0086399C">
        <w:rPr>
          <w:rFonts w:ascii="Times New Roman" w:hAnsi="Times New Roman"/>
          <w:sz w:val="28"/>
          <w:szCs w:val="28"/>
          <w:u w:val="single"/>
        </w:rPr>
        <w:t>om ej annat beslutats av tävlingsledningen</w:t>
      </w:r>
      <w:r>
        <w:rPr>
          <w:rFonts w:ascii="Times New Roman" w:hAnsi="Times New Roman"/>
          <w:sz w:val="28"/>
          <w:szCs w:val="28"/>
        </w:rPr>
        <w:t>.</w:t>
      </w:r>
    </w:p>
    <w:p w14:paraId="0F2FA195" w14:textId="1B4C1807" w:rsidR="00934063" w:rsidRDefault="00934063" w:rsidP="00934063">
      <w:pPr>
        <w:pStyle w:val="Frval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Hål 8. </w:t>
      </w:r>
      <w:r w:rsidRPr="00934063">
        <w:rPr>
          <w:rFonts w:ascii="Times New Roman" w:hAnsi="Times New Roman"/>
          <w:sz w:val="28"/>
          <w:szCs w:val="28"/>
        </w:rPr>
        <w:t>Röd tee strax framför gul tee s</w:t>
      </w:r>
      <w:r w:rsidR="0086399C">
        <w:rPr>
          <w:rFonts w:ascii="Times New Roman" w:hAnsi="Times New Roman"/>
          <w:sz w:val="28"/>
          <w:szCs w:val="28"/>
        </w:rPr>
        <w:t>ka användas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A28F210" w14:textId="1BF78100" w:rsidR="0086399C" w:rsidRPr="0086399C" w:rsidRDefault="00934063" w:rsidP="0086399C">
      <w:pPr>
        <w:pStyle w:val="Frval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Hål 11. </w:t>
      </w:r>
      <w:proofErr w:type="spellStart"/>
      <w:proofErr w:type="gramStart"/>
      <w:r w:rsidR="0086399C">
        <w:rPr>
          <w:rFonts w:ascii="Times New Roman" w:hAnsi="Times New Roman"/>
          <w:sz w:val="28"/>
          <w:szCs w:val="28"/>
        </w:rPr>
        <w:t>Vit,Gul</w:t>
      </w:r>
      <w:proofErr w:type="gramEnd"/>
      <w:r w:rsidR="0086399C">
        <w:rPr>
          <w:rFonts w:ascii="Times New Roman" w:hAnsi="Times New Roman"/>
          <w:sz w:val="28"/>
          <w:szCs w:val="28"/>
        </w:rPr>
        <w:t>,Röd</w:t>
      </w:r>
      <w:proofErr w:type="spellEnd"/>
      <w:r w:rsidR="0086399C">
        <w:rPr>
          <w:rFonts w:ascii="Times New Roman" w:hAnsi="Times New Roman"/>
          <w:sz w:val="28"/>
          <w:szCs w:val="28"/>
        </w:rPr>
        <w:t xml:space="preserve"> och Blå tee spelar </w:t>
      </w:r>
      <w:r>
        <w:rPr>
          <w:rFonts w:ascii="Times New Roman" w:hAnsi="Times New Roman"/>
          <w:sz w:val="28"/>
          <w:szCs w:val="28"/>
        </w:rPr>
        <w:t>över ravinen, dvs gå till vänster när du går av hål 10.</w:t>
      </w:r>
    </w:p>
    <w:p w14:paraId="51133D35" w14:textId="77777777" w:rsidR="00934063" w:rsidRPr="00934063" w:rsidRDefault="00934063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42CB3F4D" w14:textId="263EC4DE" w:rsidR="00E33E0E" w:rsidRDefault="00000000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Lägesförbättring - </w:t>
      </w:r>
      <w:r w:rsidR="00802512">
        <w:rPr>
          <w:rFonts w:ascii="Times New Roman" w:hAnsi="Times New Roman"/>
          <w:b/>
          <w:bCs/>
          <w:sz w:val="36"/>
          <w:szCs w:val="36"/>
        </w:rPr>
        <w:t>ett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802512">
        <w:rPr>
          <w:rFonts w:ascii="Times New Roman" w:hAnsi="Times New Roman"/>
          <w:b/>
          <w:bCs/>
          <w:sz w:val="36"/>
          <w:szCs w:val="36"/>
        </w:rPr>
        <w:t>scorekort</w:t>
      </w:r>
    </w:p>
    <w:p w14:paraId="0A485520" w14:textId="77777777" w:rsidR="00E33E0E" w:rsidRDefault="00000000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När</w:t>
      </w:r>
      <w:proofErr w:type="spellEnd"/>
      <w:r>
        <w:rPr>
          <w:rFonts w:ascii="Times New Roman" w:hAnsi="Times New Roman"/>
          <w:sz w:val="28"/>
          <w:szCs w:val="28"/>
        </w:rPr>
        <w:t xml:space="preserve"> en spelares boll ligger </w:t>
      </w:r>
      <w:proofErr w:type="spellStart"/>
      <w:r>
        <w:rPr>
          <w:rFonts w:ascii="Times New Roman" w:hAnsi="Times New Roman"/>
          <w:sz w:val="28"/>
          <w:szCs w:val="28"/>
        </w:rPr>
        <w:t>pa</w:t>
      </w:r>
      <w:proofErr w:type="spellEnd"/>
      <w:r>
        <w:rPr>
          <w:rFonts w:ascii="Times New Roman" w:hAnsi="Times New Roman"/>
          <w:sz w:val="28"/>
          <w:szCs w:val="28"/>
        </w:rPr>
        <w:t xml:space="preserve">̊ </w:t>
      </w:r>
      <w:proofErr w:type="spellStart"/>
      <w:r>
        <w:rPr>
          <w:rFonts w:ascii="Times New Roman" w:hAnsi="Times New Roman"/>
          <w:sz w:val="28"/>
          <w:szCs w:val="28"/>
        </w:rPr>
        <w:t>någon</w:t>
      </w:r>
      <w:proofErr w:type="spellEnd"/>
      <w:r>
        <w:rPr>
          <w:rFonts w:ascii="Times New Roman" w:hAnsi="Times New Roman"/>
          <w:sz w:val="28"/>
          <w:szCs w:val="28"/>
        </w:rPr>
        <w:t xml:space="preserve"> del </w:t>
      </w:r>
      <w:proofErr w:type="spellStart"/>
      <w:r>
        <w:rPr>
          <w:rFonts w:ascii="Times New Roman" w:hAnsi="Times New Roman"/>
          <w:sz w:val="28"/>
          <w:szCs w:val="28"/>
        </w:rPr>
        <w:t>spelfältet</w:t>
      </w:r>
      <w:proofErr w:type="spellEnd"/>
      <w:r>
        <w:rPr>
          <w:rFonts w:ascii="Times New Roman" w:hAnsi="Times New Roman"/>
          <w:sz w:val="28"/>
          <w:szCs w:val="28"/>
        </w:rPr>
        <w:t xml:space="preserve"> som klippts till </w:t>
      </w:r>
      <w:proofErr w:type="spellStart"/>
      <w:r>
        <w:rPr>
          <w:rFonts w:ascii="Times New Roman" w:hAnsi="Times New Roman"/>
          <w:sz w:val="28"/>
          <w:szCs w:val="28"/>
        </w:rPr>
        <w:t>fairwayhöjd</w:t>
      </w:r>
      <w:proofErr w:type="spellEnd"/>
      <w:r>
        <w:rPr>
          <w:rFonts w:ascii="Times New Roman" w:hAnsi="Times New Roman"/>
          <w:sz w:val="28"/>
          <w:szCs w:val="28"/>
        </w:rPr>
        <w:t xml:space="preserve"> eller </w:t>
      </w:r>
      <w:proofErr w:type="spellStart"/>
      <w:r>
        <w:rPr>
          <w:rFonts w:ascii="Times New Roman" w:hAnsi="Times New Roman"/>
          <w:sz w:val="28"/>
          <w:szCs w:val="28"/>
        </w:rPr>
        <w:t>lägre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får</w:t>
      </w:r>
      <w:proofErr w:type="spellEnd"/>
      <w:r>
        <w:rPr>
          <w:rFonts w:ascii="Times New Roman" w:hAnsi="Times New Roman"/>
          <w:sz w:val="28"/>
          <w:szCs w:val="28"/>
        </w:rPr>
        <w:t xml:space="preserve"> spelaren ta </w:t>
      </w:r>
      <w:proofErr w:type="spellStart"/>
      <w:r>
        <w:rPr>
          <w:rFonts w:ascii="Times New Roman" w:hAnsi="Times New Roman"/>
          <w:sz w:val="28"/>
          <w:szCs w:val="28"/>
        </w:rPr>
        <w:t>lättnad</w:t>
      </w:r>
      <w:proofErr w:type="spellEnd"/>
      <w:r>
        <w:rPr>
          <w:rFonts w:ascii="Times New Roman" w:hAnsi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/>
          <w:sz w:val="28"/>
          <w:szCs w:val="28"/>
        </w:rPr>
        <w:t>gång</w:t>
      </w:r>
      <w:proofErr w:type="spellEnd"/>
      <w:r>
        <w:rPr>
          <w:rFonts w:ascii="Times New Roman" w:hAnsi="Times New Roman"/>
          <w:sz w:val="28"/>
          <w:szCs w:val="28"/>
        </w:rPr>
        <w:t xml:space="preserve"> utan plikt genom att placera den ursprungliga bollen eller en annan boll i och spela den </w:t>
      </w:r>
      <w:proofErr w:type="spellStart"/>
      <w:r>
        <w:rPr>
          <w:rFonts w:ascii="Times New Roman" w:hAnsi="Times New Roman"/>
          <w:sz w:val="28"/>
          <w:szCs w:val="28"/>
        </w:rPr>
        <w:t>från</w:t>
      </w:r>
      <w:proofErr w:type="spellEnd"/>
      <w:r>
        <w:rPr>
          <w:rFonts w:ascii="Times New Roman" w:hAnsi="Times New Roman"/>
          <w:sz w:val="28"/>
          <w:szCs w:val="28"/>
        </w:rPr>
        <w:t xml:space="preserve"> detta </w:t>
      </w:r>
      <w:proofErr w:type="spellStart"/>
      <w:r>
        <w:rPr>
          <w:rFonts w:ascii="Times New Roman" w:hAnsi="Times New Roman"/>
          <w:sz w:val="28"/>
          <w:szCs w:val="28"/>
        </w:rPr>
        <w:t>lättnadsområde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3F67289" w14:textId="77777777" w:rsidR="00E33E0E" w:rsidRDefault="00000000">
      <w:pPr>
        <w:pStyle w:val="Frval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Referenspunkt: Den ursprungliga bollens </w:t>
      </w:r>
      <w:proofErr w:type="spellStart"/>
      <w:r>
        <w:rPr>
          <w:rFonts w:ascii="Times New Roman" w:hAnsi="Times New Roman"/>
          <w:sz w:val="28"/>
          <w:szCs w:val="28"/>
        </w:rPr>
        <w:t>läge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094B74D" w14:textId="09E59605" w:rsidR="00E33E0E" w:rsidRDefault="00000000">
      <w:pPr>
        <w:pStyle w:val="Frval"/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Lättnadsområdets</w:t>
      </w:r>
      <w:proofErr w:type="spellEnd"/>
      <w:r>
        <w:rPr>
          <w:rFonts w:ascii="Times New Roman" w:hAnsi="Times New Roman"/>
          <w:sz w:val="28"/>
          <w:szCs w:val="28"/>
        </w:rPr>
        <w:t xml:space="preserve"> storlek </w:t>
      </w:r>
      <w:proofErr w:type="spellStart"/>
      <w:r>
        <w:rPr>
          <w:rFonts w:ascii="Times New Roman" w:hAnsi="Times New Roman"/>
          <w:sz w:val="28"/>
          <w:szCs w:val="28"/>
        </w:rPr>
        <w:t>mätt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från</w:t>
      </w:r>
      <w:proofErr w:type="spellEnd"/>
      <w:r>
        <w:rPr>
          <w:rFonts w:ascii="Times New Roman" w:hAnsi="Times New Roman"/>
          <w:sz w:val="28"/>
          <w:szCs w:val="28"/>
        </w:rPr>
        <w:t xml:space="preserve"> referenspunkten är </w:t>
      </w:r>
      <w:r w:rsidR="00802512">
        <w:rPr>
          <w:rFonts w:ascii="Times New Roman" w:hAnsi="Times New Roman"/>
          <w:sz w:val="28"/>
          <w:szCs w:val="28"/>
        </w:rPr>
        <w:t>ett scorekort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från</w:t>
      </w:r>
      <w:proofErr w:type="spellEnd"/>
      <w:r>
        <w:rPr>
          <w:rFonts w:ascii="Times New Roman" w:hAnsi="Times New Roman"/>
          <w:sz w:val="28"/>
          <w:szCs w:val="28"/>
        </w:rPr>
        <w:t xml:space="preserve"> referenspunkten men inte </w:t>
      </w:r>
      <w:proofErr w:type="spellStart"/>
      <w:r>
        <w:rPr>
          <w:rFonts w:ascii="Times New Roman" w:hAnsi="Times New Roman"/>
          <w:sz w:val="28"/>
          <w:szCs w:val="28"/>
        </w:rPr>
        <w:t>närmre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hålet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än</w:t>
      </w:r>
      <w:proofErr w:type="spellEnd"/>
      <w:r>
        <w:rPr>
          <w:rFonts w:ascii="Times New Roman" w:hAnsi="Times New Roman"/>
          <w:sz w:val="28"/>
          <w:szCs w:val="28"/>
        </w:rPr>
        <w:t xml:space="preserve"> referenspunkten och den </w:t>
      </w:r>
      <w:proofErr w:type="spellStart"/>
      <w:r>
        <w:rPr>
          <w:rFonts w:ascii="Times New Roman" w:hAnsi="Times New Roman"/>
          <w:sz w:val="28"/>
          <w:szCs w:val="28"/>
        </w:rPr>
        <w:t>måste</w:t>
      </w:r>
      <w:proofErr w:type="spellEnd"/>
      <w:r>
        <w:rPr>
          <w:rFonts w:ascii="Times New Roman" w:hAnsi="Times New Roman"/>
          <w:sz w:val="28"/>
          <w:szCs w:val="28"/>
        </w:rPr>
        <w:t xml:space="preserve"> vara </w:t>
      </w:r>
      <w:proofErr w:type="spellStart"/>
      <w:r>
        <w:rPr>
          <w:rFonts w:ascii="Times New Roman" w:hAnsi="Times New Roman"/>
          <w:sz w:val="28"/>
          <w:szCs w:val="28"/>
        </w:rPr>
        <w:t>pa</w:t>
      </w:r>
      <w:proofErr w:type="spellEnd"/>
      <w:r>
        <w:rPr>
          <w:rFonts w:ascii="Times New Roman" w:hAnsi="Times New Roman"/>
          <w:sz w:val="28"/>
          <w:szCs w:val="28"/>
        </w:rPr>
        <w:t xml:space="preserve">̊ </w:t>
      </w:r>
      <w:proofErr w:type="spellStart"/>
      <w:r>
        <w:rPr>
          <w:rFonts w:ascii="Times New Roman" w:hAnsi="Times New Roman"/>
          <w:sz w:val="28"/>
          <w:szCs w:val="28"/>
        </w:rPr>
        <w:t>spelfältet</w:t>
      </w:r>
      <w:proofErr w:type="spellEnd"/>
      <w:r>
        <w:rPr>
          <w:rFonts w:ascii="Times New Roman" w:hAnsi="Times New Roman"/>
          <w:sz w:val="28"/>
          <w:szCs w:val="28"/>
        </w:rPr>
        <w:t>. Regel 14.2</w:t>
      </w:r>
    </w:p>
    <w:p w14:paraId="1448F465" w14:textId="77777777" w:rsidR="00E33E0E" w:rsidRDefault="00000000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Bollen måste lyftas och placeras och får ej ”fösas” med klubban.</w:t>
      </w:r>
    </w:p>
    <w:p w14:paraId="4DD47E10" w14:textId="77777777" w:rsidR="00E33E0E" w:rsidRDefault="00E33E0E">
      <w:pPr>
        <w:pStyle w:val="Frval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DA0D2C" w14:textId="335BBCBD" w:rsidR="00E35817" w:rsidRDefault="00000000">
      <w:pPr>
        <w:pStyle w:val="Frval"/>
        <w:spacing w:before="0" w:line="100" w:lineRule="atLeas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Nysådda</w:t>
      </w:r>
      <w:r w:rsidR="00E35817">
        <w:rPr>
          <w:rFonts w:ascii="Times New Roman" w:hAnsi="Times New Roman"/>
          <w:b/>
          <w:bCs/>
          <w:sz w:val="36"/>
          <w:szCs w:val="36"/>
        </w:rPr>
        <w:t xml:space="preserve"> områden</w:t>
      </w:r>
      <w:r w:rsidR="009C1247">
        <w:rPr>
          <w:rFonts w:ascii="Times New Roman" w:hAnsi="Times New Roman"/>
          <w:b/>
          <w:bCs/>
          <w:sz w:val="36"/>
          <w:szCs w:val="36"/>
        </w:rPr>
        <w:t xml:space="preserve"> (</w:t>
      </w:r>
      <w:r w:rsidR="0021689B">
        <w:rPr>
          <w:rFonts w:ascii="Times New Roman" w:hAnsi="Times New Roman"/>
          <w:b/>
          <w:bCs/>
          <w:sz w:val="36"/>
          <w:szCs w:val="36"/>
        </w:rPr>
        <w:t>spelförbudszon)</w:t>
      </w:r>
    </w:p>
    <w:p w14:paraId="5F4BB304" w14:textId="77777777" w:rsidR="00FC1CC3" w:rsidRDefault="00FC1CC3" w:rsidP="00E35817">
      <w:pPr>
        <w:pStyle w:val="Frval"/>
        <w:spacing w:before="0" w:line="100" w:lineRule="atLeast"/>
        <w:rPr>
          <w:rFonts w:ascii="Times New Roman" w:hAnsi="Times New Roman"/>
          <w:sz w:val="28"/>
          <w:szCs w:val="28"/>
        </w:rPr>
      </w:pPr>
    </w:p>
    <w:p w14:paraId="00795AEE" w14:textId="6C238F8E" w:rsidR="0021689B" w:rsidRDefault="00E35817" w:rsidP="00E35817">
      <w:pPr>
        <w:pStyle w:val="Frval"/>
        <w:spacing w:before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Nysådda områden </w:t>
      </w:r>
      <w:r w:rsidR="0021689B">
        <w:rPr>
          <w:rFonts w:ascii="Times New Roman" w:hAnsi="Times New Roman"/>
          <w:sz w:val="28"/>
          <w:szCs w:val="28"/>
        </w:rPr>
        <w:t xml:space="preserve">är </w:t>
      </w:r>
      <w:r>
        <w:rPr>
          <w:rFonts w:ascii="Times New Roman" w:hAnsi="Times New Roman"/>
          <w:sz w:val="28"/>
          <w:szCs w:val="28"/>
        </w:rPr>
        <w:t>mark under arbete</w:t>
      </w:r>
      <w:r w:rsidR="0021689B">
        <w:rPr>
          <w:rFonts w:ascii="Times New Roman" w:hAnsi="Times New Roman"/>
          <w:sz w:val="28"/>
          <w:szCs w:val="28"/>
        </w:rPr>
        <w:t xml:space="preserve"> med spelförbudszon</w:t>
      </w:r>
      <w:r>
        <w:rPr>
          <w:rFonts w:ascii="Times New Roman" w:hAnsi="Times New Roman"/>
          <w:sz w:val="28"/>
          <w:szCs w:val="28"/>
        </w:rPr>
        <w:t xml:space="preserve"> och lättnad </w:t>
      </w:r>
      <w:r w:rsidR="0021689B">
        <w:rPr>
          <w:rFonts w:ascii="Times New Roman" w:hAnsi="Times New Roman"/>
          <w:sz w:val="28"/>
          <w:szCs w:val="28"/>
        </w:rPr>
        <w:t>måste</w:t>
      </w:r>
      <w:r>
        <w:rPr>
          <w:rFonts w:ascii="Times New Roman" w:hAnsi="Times New Roman"/>
          <w:sz w:val="28"/>
          <w:szCs w:val="28"/>
        </w:rPr>
        <w:t xml:space="preserve"> tas </w:t>
      </w:r>
      <w:r w:rsidR="0021689B">
        <w:rPr>
          <w:rFonts w:ascii="Times New Roman" w:hAnsi="Times New Roman"/>
          <w:sz w:val="28"/>
          <w:szCs w:val="28"/>
        </w:rPr>
        <w:t xml:space="preserve">enligt </w:t>
      </w:r>
      <w:r>
        <w:rPr>
          <w:rFonts w:ascii="Times New Roman" w:hAnsi="Times New Roman"/>
          <w:sz w:val="28"/>
          <w:szCs w:val="28"/>
        </w:rPr>
        <w:t>(16.1b</w:t>
      </w:r>
      <w:r w:rsidR="0021689B">
        <w:rPr>
          <w:rFonts w:ascii="Times New Roman" w:hAnsi="Times New Roman"/>
          <w:sz w:val="28"/>
          <w:szCs w:val="28"/>
        </w:rPr>
        <w:t>)</w:t>
      </w:r>
      <w:r w:rsidR="00186D45">
        <w:rPr>
          <w:rFonts w:ascii="Times New Roman" w:hAnsi="Times New Roman"/>
          <w:sz w:val="28"/>
          <w:szCs w:val="28"/>
        </w:rPr>
        <w:t>.</w:t>
      </w:r>
    </w:p>
    <w:p w14:paraId="54FC92D0" w14:textId="77777777" w:rsidR="00D25802" w:rsidRPr="00D25802" w:rsidRDefault="00D25802">
      <w:pPr>
        <w:pStyle w:val="Frval"/>
        <w:spacing w:before="0" w:line="100" w:lineRule="atLeast"/>
        <w:rPr>
          <w:rFonts w:ascii="Times New Roman" w:hAnsi="Times New Roman"/>
          <w:sz w:val="28"/>
          <w:szCs w:val="28"/>
        </w:rPr>
      </w:pPr>
    </w:p>
    <w:p w14:paraId="333CB9F3" w14:textId="2C87CA4A" w:rsidR="00E33E0E" w:rsidRDefault="00E35817">
      <w:pPr>
        <w:pStyle w:val="Frval"/>
        <w:spacing w:before="0" w:line="100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Ifyllda områden</w:t>
      </w:r>
    </w:p>
    <w:p w14:paraId="6381F7DC" w14:textId="5BC2C027" w:rsidR="00E33E0E" w:rsidRDefault="009C1247">
      <w:pPr>
        <w:pStyle w:val="Frval"/>
        <w:spacing w:before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Områden som är ifyllda med tillfört material samt andra nyligen bearbetade områden är mark under arbete och lättnad får tas (16.1b).</w:t>
      </w:r>
    </w:p>
    <w:p w14:paraId="0C0EA3D8" w14:textId="77777777" w:rsidR="00E33E0E" w:rsidRDefault="00E33E0E">
      <w:pPr>
        <w:pStyle w:val="Frval"/>
        <w:spacing w:before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8B03EAE" w14:textId="77777777" w:rsidR="00E33E0E" w:rsidRDefault="00000000">
      <w:pPr>
        <w:pStyle w:val="Frval"/>
        <w:spacing w:before="0" w:line="100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Skador från fordon och vildsvin</w:t>
      </w:r>
    </w:p>
    <w:p w14:paraId="10F7D1DD" w14:textId="1B264556" w:rsidR="00E33E0E" w:rsidRPr="008512D3" w:rsidRDefault="00000000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Djupa skador från fordon och skador från vildsvin är mark under arbete och lättnad får tas för läge och stans</w:t>
      </w:r>
      <w:r w:rsidR="00934063">
        <w:rPr>
          <w:rFonts w:ascii="Times New Roman" w:hAnsi="Times New Roman"/>
          <w:sz w:val="28"/>
          <w:szCs w:val="28"/>
        </w:rPr>
        <w:t xml:space="preserve"> enligt regel </w:t>
      </w:r>
      <w:r>
        <w:rPr>
          <w:rFonts w:ascii="Times New Roman" w:hAnsi="Times New Roman"/>
          <w:sz w:val="28"/>
          <w:szCs w:val="28"/>
        </w:rPr>
        <w:t>16.1b.</w:t>
      </w:r>
    </w:p>
    <w:p w14:paraId="0E3ACC8D" w14:textId="77777777" w:rsidR="00E33E0E" w:rsidRDefault="00E33E0E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28DC7EFB" w14:textId="77777777" w:rsidR="00E33E0E" w:rsidRDefault="00E33E0E">
      <w:pPr>
        <w:pStyle w:val="Frval"/>
        <w:tabs>
          <w:tab w:val="left" w:pos="1304"/>
          <w:tab w:val="left" w:pos="2608"/>
          <w:tab w:val="left" w:pos="3912"/>
          <w:tab w:val="left" w:pos="5386"/>
          <w:tab w:val="left" w:pos="6520"/>
          <w:tab w:val="left" w:pos="7824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color w:val="0000FE"/>
          <w:sz w:val="22"/>
          <w:szCs w:val="22"/>
          <w:u w:color="0432FF"/>
        </w:rPr>
      </w:pPr>
    </w:p>
    <w:p w14:paraId="2E003947" w14:textId="77777777" w:rsidR="00E33E0E" w:rsidRDefault="00000000">
      <w:pPr>
        <w:pStyle w:val="Frval"/>
        <w:tabs>
          <w:tab w:val="left" w:pos="1304"/>
          <w:tab w:val="left" w:pos="2608"/>
          <w:tab w:val="left" w:pos="3912"/>
          <w:tab w:val="left" w:pos="5386"/>
          <w:tab w:val="left" w:pos="6520"/>
          <w:tab w:val="left" w:pos="7824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Plikt för brott mot tillfälliga lokala regler: </w:t>
      </w:r>
    </w:p>
    <w:p w14:paraId="59A22751" w14:textId="77777777" w:rsidR="00E33E0E" w:rsidRDefault="00000000">
      <w:pPr>
        <w:pStyle w:val="Frval"/>
        <w:tabs>
          <w:tab w:val="left" w:pos="1304"/>
          <w:tab w:val="left" w:pos="2608"/>
          <w:tab w:val="left" w:pos="3912"/>
          <w:tab w:val="left" w:pos="5386"/>
          <w:tab w:val="left" w:pos="6520"/>
          <w:tab w:val="left" w:pos="7824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Matchspel - Förlorat hål</w:t>
      </w:r>
    </w:p>
    <w:p w14:paraId="3CCB360D" w14:textId="77777777" w:rsidR="00E33E0E" w:rsidRDefault="00000000">
      <w:pPr>
        <w:pStyle w:val="Frval"/>
        <w:tabs>
          <w:tab w:val="left" w:pos="1304"/>
          <w:tab w:val="left" w:pos="2608"/>
          <w:tab w:val="left" w:pos="3912"/>
          <w:tab w:val="left" w:pos="5386"/>
          <w:tab w:val="left" w:pos="6520"/>
          <w:tab w:val="left" w:pos="7824"/>
          <w:tab w:val="left" w:pos="9132"/>
        </w:tabs>
        <w:spacing w:before="0" w:line="240" w:lineRule="auto"/>
        <w:jc w:val="center"/>
      </w:pPr>
      <w:r>
        <w:rPr>
          <w:rFonts w:ascii="Times New Roman" w:hAnsi="Times New Roman"/>
        </w:rPr>
        <w:t>Slagspel - Allmän plikt (2 slag)</w:t>
      </w:r>
    </w:p>
    <w:sectPr w:rsidR="00E33E0E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13C" w14:textId="77777777" w:rsidR="00277C44" w:rsidRDefault="00277C44">
      <w:r>
        <w:separator/>
      </w:r>
    </w:p>
  </w:endnote>
  <w:endnote w:type="continuationSeparator" w:id="0">
    <w:p w14:paraId="317809A6" w14:textId="77777777" w:rsidR="00277C44" w:rsidRDefault="0027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6A2D" w14:textId="3ED50056" w:rsidR="00934063" w:rsidRDefault="00000000">
    <w:pPr>
      <w:pStyle w:val="Sidhuvudochsidfot"/>
      <w:tabs>
        <w:tab w:val="clear" w:pos="9020"/>
        <w:tab w:val="center" w:pos="4819"/>
        <w:tab w:val="right" w:pos="9612"/>
      </w:tabs>
      <w:rPr>
        <w:rFonts w:hint="eastAsia"/>
      </w:rPr>
    </w:pPr>
    <w:r>
      <w:t>202</w:t>
    </w:r>
    <w:r w:rsidR="00E35817">
      <w:t>5</w:t>
    </w:r>
    <w:r>
      <w:t>-0</w:t>
    </w:r>
    <w:r w:rsidR="00934063">
      <w:t>9</w:t>
    </w:r>
    <w:r>
      <w:t>-</w:t>
    </w:r>
    <w:r w:rsidR="00934063"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6427" w14:textId="77777777" w:rsidR="00277C44" w:rsidRDefault="00277C44">
      <w:r>
        <w:separator/>
      </w:r>
    </w:p>
  </w:footnote>
  <w:footnote w:type="continuationSeparator" w:id="0">
    <w:p w14:paraId="3F9904C9" w14:textId="77777777" w:rsidR="00277C44" w:rsidRDefault="0027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84F"/>
    <w:multiLevelType w:val="hybridMultilevel"/>
    <w:tmpl w:val="0AC22A76"/>
    <w:numStyleLink w:val="Punkter"/>
  </w:abstractNum>
  <w:abstractNum w:abstractNumId="1" w15:restartNumberingAfterBreak="0">
    <w:nsid w:val="1AAD0C65"/>
    <w:multiLevelType w:val="hybridMultilevel"/>
    <w:tmpl w:val="6A001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2C57"/>
    <w:multiLevelType w:val="multilevel"/>
    <w:tmpl w:val="5BE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059A5"/>
    <w:multiLevelType w:val="hybridMultilevel"/>
    <w:tmpl w:val="D4DA25E8"/>
    <w:lvl w:ilvl="0" w:tplc="4CBACFFE"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B88"/>
    <w:multiLevelType w:val="hybridMultilevel"/>
    <w:tmpl w:val="0AC22A76"/>
    <w:styleLink w:val="Punkter"/>
    <w:lvl w:ilvl="0" w:tplc="33F0CFB4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D05E08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821" w:hanging="221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F8AA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2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89F04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02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8D54E">
      <w:start w:val="1"/>
      <w:numFmt w:val="bullet"/>
      <w:lvlText w:val="•"/>
      <w:lvlJc w:val="left"/>
      <w:pPr>
        <w:tabs>
          <w:tab w:val="left" w:pos="1304"/>
          <w:tab w:val="left" w:pos="3912"/>
          <w:tab w:val="left" w:pos="5216"/>
          <w:tab w:val="left" w:pos="6520"/>
          <w:tab w:val="left" w:pos="7824"/>
          <w:tab w:val="left" w:pos="9128"/>
        </w:tabs>
        <w:ind w:left="2621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28D02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221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C67146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821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C44D2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421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9ABB7A">
      <w:start w:val="1"/>
      <w:numFmt w:val="bullet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21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65572099">
    <w:abstractNumId w:val="4"/>
  </w:num>
  <w:num w:numId="2" w16cid:durableId="1824466044">
    <w:abstractNumId w:val="0"/>
  </w:num>
  <w:num w:numId="3" w16cid:durableId="1933515281">
    <w:abstractNumId w:val="2"/>
  </w:num>
  <w:num w:numId="4" w16cid:durableId="1535579187">
    <w:abstractNumId w:val="3"/>
  </w:num>
  <w:num w:numId="5" w16cid:durableId="51095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0E"/>
    <w:rsid w:val="00045418"/>
    <w:rsid w:val="0009208B"/>
    <w:rsid w:val="000A7DE1"/>
    <w:rsid w:val="000B7D33"/>
    <w:rsid w:val="00133FEA"/>
    <w:rsid w:val="00186D45"/>
    <w:rsid w:val="001A73AE"/>
    <w:rsid w:val="001C37C0"/>
    <w:rsid w:val="001F227F"/>
    <w:rsid w:val="0021689B"/>
    <w:rsid w:val="00277C44"/>
    <w:rsid w:val="002C7520"/>
    <w:rsid w:val="003A6065"/>
    <w:rsid w:val="00417571"/>
    <w:rsid w:val="00526F1B"/>
    <w:rsid w:val="005A2887"/>
    <w:rsid w:val="006766E6"/>
    <w:rsid w:val="00693427"/>
    <w:rsid w:val="00706AE5"/>
    <w:rsid w:val="00802512"/>
    <w:rsid w:val="00811DF5"/>
    <w:rsid w:val="008512D3"/>
    <w:rsid w:val="0086399C"/>
    <w:rsid w:val="00934063"/>
    <w:rsid w:val="009A5C47"/>
    <w:rsid w:val="009C1247"/>
    <w:rsid w:val="009D52FA"/>
    <w:rsid w:val="00B361D0"/>
    <w:rsid w:val="00C20509"/>
    <w:rsid w:val="00C33881"/>
    <w:rsid w:val="00C61E0A"/>
    <w:rsid w:val="00C759BE"/>
    <w:rsid w:val="00C94E46"/>
    <w:rsid w:val="00D25802"/>
    <w:rsid w:val="00D86CEF"/>
    <w:rsid w:val="00DF07C0"/>
    <w:rsid w:val="00E33E0E"/>
    <w:rsid w:val="00E35817"/>
    <w:rsid w:val="00E42282"/>
    <w:rsid w:val="00ED6FB7"/>
    <w:rsid w:val="00EE38C2"/>
    <w:rsid w:val="00EE5CC4"/>
    <w:rsid w:val="00F02AE5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D983"/>
  <w15:docId w15:val="{D6457C21-C74C-45AA-8C49-3020AFD7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val">
    <w:name w:val="Förval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er">
    <w:name w:val="Punkter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E358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35817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E358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5817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9C124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Reception</cp:lastModifiedBy>
  <cp:revision>2</cp:revision>
  <cp:lastPrinted>2025-09-12T10:39:00Z</cp:lastPrinted>
  <dcterms:created xsi:type="dcterms:W3CDTF">2025-09-12T11:13:00Z</dcterms:created>
  <dcterms:modified xsi:type="dcterms:W3CDTF">2025-09-12T11:13:00Z</dcterms:modified>
</cp:coreProperties>
</file>